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EC" w:rsidRDefault="003C09EC" w:rsidP="003C09EC">
      <w:pPr>
        <w:pStyle w:val="Heading4"/>
        <w:jc w:val="center"/>
        <w:rPr>
          <w:rFonts w:ascii="Arial" w:hAnsi="Arial" w:cs="Arial"/>
          <w:i/>
        </w:rPr>
      </w:pPr>
      <w:r w:rsidRPr="00D3697E">
        <w:rPr>
          <w:rFonts w:ascii="Arial" w:hAnsi="Arial" w:cs="Arial"/>
          <w:i/>
        </w:rPr>
        <w:t>“</w:t>
      </w:r>
      <w:r>
        <w:rPr>
          <w:rFonts w:ascii="Arial" w:hAnsi="Arial" w:cs="Arial"/>
          <w:i/>
        </w:rPr>
        <w:t>Πολλαπλάσια και υποπολλαπλάσια μονάδων εμβαδού-1</w:t>
      </w:r>
      <w:r w:rsidRPr="00D3697E">
        <w:rPr>
          <w:rFonts w:ascii="Arial" w:hAnsi="Arial" w:cs="Arial"/>
          <w:i/>
        </w:rPr>
        <w:t xml:space="preserve">” </w:t>
      </w:r>
    </w:p>
    <w:p w:rsidR="009E57AA" w:rsidRDefault="003C09EC" w:rsidP="003C09EC">
      <w:pPr>
        <w:pStyle w:val="Heading4"/>
        <w:jc w:val="center"/>
        <w:rPr>
          <w:rFonts w:ascii="Arial" w:hAnsi="Arial" w:cs="Arial"/>
          <w:i/>
        </w:rPr>
      </w:pPr>
      <w:r>
        <w:rPr>
          <w:rFonts w:ascii="Arial" w:hAnsi="Arial" w:cs="Arial"/>
          <w:i/>
        </w:rPr>
        <w:t>Ε Τάξη</w:t>
      </w:r>
    </w:p>
    <w:p w:rsidR="003C09EC" w:rsidRPr="00D3697E" w:rsidRDefault="009E57AA" w:rsidP="003C09EC">
      <w:pPr>
        <w:pStyle w:val="Heading4"/>
        <w:jc w:val="center"/>
        <w:rPr>
          <w:rFonts w:ascii="Arial" w:hAnsi="Arial" w:cs="Arial"/>
          <w:i/>
        </w:rPr>
      </w:pPr>
      <w:r>
        <w:rPr>
          <w:rFonts w:ascii="Arial" w:hAnsi="Arial" w:cs="Arial"/>
          <w:i/>
        </w:rPr>
        <w:t>Οδηγίες για τον εκπαιδευτικό</w:t>
      </w:r>
    </w:p>
    <w:p w:rsidR="003C09EC" w:rsidRDefault="003C09EC" w:rsidP="003C09EC">
      <w:pPr>
        <w:pStyle w:val="Heading6"/>
        <w:shd w:val="clear" w:color="auto" w:fill="8C8C8C"/>
        <w:jc w:val="center"/>
        <w:rPr>
          <w:rFonts w:ascii="Arial" w:hAnsi="Arial" w:cs="Arial"/>
          <w:color w:val="FFFFFF"/>
          <w:sz w:val="24"/>
          <w:szCs w:val="24"/>
        </w:rPr>
      </w:pPr>
      <w:r>
        <w:rPr>
          <w:rFonts w:ascii="Arial" w:hAnsi="Arial" w:cs="Arial"/>
          <w:color w:val="FFFFFF"/>
          <w:sz w:val="24"/>
          <w:szCs w:val="24"/>
        </w:rPr>
        <w:t>Βήμα 1</w:t>
      </w:r>
      <w:r>
        <w:rPr>
          <w:rFonts w:ascii="Arial" w:hAnsi="Arial" w:cs="Arial"/>
          <w:color w:val="FFFFFF"/>
          <w:sz w:val="24"/>
          <w:szCs w:val="24"/>
          <w:vertAlign w:val="superscript"/>
        </w:rPr>
        <w:t>ο</w:t>
      </w:r>
    </w:p>
    <w:p w:rsidR="003C09EC" w:rsidRDefault="003C09EC" w:rsidP="003C09EC"/>
    <w:p w:rsidR="003C09EC" w:rsidRDefault="003C09EC" w:rsidP="003C09EC">
      <w:r>
        <w:t>Η δραστηριότητα καταγίνεται με την αναγκαιότητα της χρήσης υποδιαιρέσεων και πολλαπλασίων της μονάδας μέτρησης επιφανειών.</w:t>
      </w:r>
    </w:p>
    <w:p w:rsidR="003C09EC" w:rsidRPr="00DD6BEB" w:rsidRDefault="003C09EC" w:rsidP="003C09E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C09EC" w:rsidTr="00AE5442">
        <w:tc>
          <w:tcPr>
            <w:tcW w:w="8522" w:type="dxa"/>
          </w:tcPr>
          <w:p w:rsidR="003C09EC" w:rsidRDefault="003C09EC" w:rsidP="00AE5442">
            <w:r>
              <w:t>Ο Νικόδημος το καλοκαίρι ήταν στο χωριό του παππού του και τον βοηθούσε στις γεωργικές του εργασίες. Ένα πρωινό που δούλευαν σε ένα από τα χωράφια το τρακτέρ του παππού ξέθαψε ένα αρχαιολογικό εύρημα. Μαζί και οι δυο επικοινώνησαν με την αρχαιολογική υπηρεσία. Η πρώτη πληροφορία που ζητούσαν μετά την περιγραφή ήταν μια εκτίμηση του εμβαδού του. Του Νικόδημου δεν του θύμιζε κάποιο γνωστό του σχήμα και έτσι σκέφτηκε να χρησιμοποιήσει ως μονάδα μέτρησης μερικά πράσινα πλαστικά πλακάκια που είχε ο παππούς στην αποθήκη.</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8290"/>
            </w:tblGrid>
            <w:tr w:rsidR="003C09EC" w:rsidTr="00AE5442">
              <w:trPr>
                <w:trHeight w:val="3334"/>
                <w:tblCellSpacing w:w="20" w:type="dxa"/>
              </w:trPr>
              <w:tc>
                <w:tcPr>
                  <w:tcW w:w="8549" w:type="dxa"/>
                  <w:shd w:val="clear" w:color="auto" w:fill="auto"/>
                </w:tcPr>
                <w:p w:rsidR="003C09EC" w:rsidRPr="00833830" w:rsidRDefault="003C09EC" w:rsidP="00AE5442">
                  <w:pPr>
                    <w:jc w:val="center"/>
                  </w:pPr>
                  <w:r>
                    <w:rPr>
                      <w:noProof/>
                    </w:rPr>
                    <w:drawing>
                      <wp:inline distT="0" distB="0" distL="0" distR="0">
                        <wp:extent cx="4699635" cy="2243455"/>
                        <wp:effectExtent l="0" t="0" r="571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9635" cy="2243455"/>
                                </a:xfrm>
                                <a:prstGeom prst="rect">
                                  <a:avLst/>
                                </a:prstGeom>
                                <a:noFill/>
                                <a:ln>
                                  <a:noFill/>
                                </a:ln>
                              </pic:spPr>
                            </pic:pic>
                          </a:graphicData>
                        </a:graphic>
                      </wp:inline>
                    </w:drawing>
                  </w:r>
                </w:p>
              </w:tc>
            </w:tr>
          </w:tbl>
          <w:p w:rsidR="003C09EC" w:rsidRPr="0024748C" w:rsidRDefault="003C09EC" w:rsidP="00AE5442">
            <w:pPr>
              <w:jc w:val="center"/>
              <w:rPr>
                <w:b/>
              </w:rPr>
            </w:pPr>
            <w:r w:rsidRPr="0024748C">
              <w:rPr>
                <w:b/>
              </w:rPr>
              <w:t>ΕΙΚΟΝΑ</w:t>
            </w:r>
            <w:r w:rsidR="009E57AA">
              <w:rPr>
                <w:b/>
              </w:rPr>
              <w:t>-1</w:t>
            </w:r>
          </w:p>
          <w:p w:rsidR="003C09EC" w:rsidRDefault="003C09EC" w:rsidP="00AE5442">
            <w:r>
              <w:t xml:space="preserve">Ανοίξτε το αρχείο </w:t>
            </w:r>
            <w:r w:rsidR="009E57AA">
              <w:t>«Δραστηριότητα-1»</w:t>
            </w:r>
            <w:r>
              <w:t xml:space="preserve"> και σέρνοντας με πατημένο το ποντίκι μόνο τις πράσινες μονάδες προσπαθήστε να μετρήσετε μαζί με το Νικόδημο το εμβαδόν του ευρήματος. Τί παρατηρείτε;</w:t>
            </w:r>
          </w:p>
          <w:p w:rsidR="003C09EC" w:rsidRDefault="003C09EC" w:rsidP="00AE5442"/>
        </w:tc>
      </w:tr>
    </w:tbl>
    <w:p w:rsidR="003C09EC" w:rsidRDefault="003C09EC" w:rsidP="003C09EC">
      <w:r>
        <w:t xml:space="preserve">  </w:t>
      </w:r>
    </w:p>
    <w:p w:rsidR="003C09EC" w:rsidRDefault="003C09EC" w:rsidP="003C09EC">
      <w:r>
        <w:t xml:space="preserve">Αυτό που προφανώς περιμένουμε να διαπιστώσουν οι μαθητές μας είναι ότι οι πράσινες μονάδες δεν αρκούν για να καλύψουν πλήρως το εύρημα και άρα δεν μπορούν να εκφράσουν αριθμητικά το εμβαδόν του. Υπάρχουν περιοχές που </w:t>
      </w:r>
      <w:r>
        <w:lastRenderedPageBreak/>
        <w:t>περισσεύουν και για τις οποίες η μονάδα είναι αρκετά μεγάλη για να την καλύψει χωρίς να περισσέψει μέρος της.</w:t>
      </w:r>
    </w:p>
    <w:p w:rsidR="003C09EC" w:rsidRDefault="003C09EC" w:rsidP="003C09EC">
      <w:pPr>
        <w:pStyle w:val="Heading6"/>
        <w:shd w:val="clear" w:color="auto" w:fill="8C8C8C"/>
        <w:jc w:val="center"/>
        <w:rPr>
          <w:rFonts w:ascii="Arial" w:hAnsi="Arial" w:cs="Arial"/>
          <w:color w:val="FFFFFF"/>
          <w:sz w:val="24"/>
          <w:szCs w:val="24"/>
        </w:rPr>
      </w:pPr>
      <w:r>
        <w:rPr>
          <w:rFonts w:ascii="Arial" w:hAnsi="Arial" w:cs="Arial"/>
          <w:color w:val="FFFFFF"/>
          <w:sz w:val="24"/>
          <w:szCs w:val="24"/>
        </w:rPr>
        <w:t>Βήμα 2</w:t>
      </w:r>
      <w:r>
        <w:rPr>
          <w:rFonts w:ascii="Arial" w:hAnsi="Arial" w:cs="Arial"/>
          <w:color w:val="FFFFFF"/>
          <w:sz w:val="24"/>
          <w:szCs w:val="24"/>
          <w:vertAlign w:val="superscript"/>
        </w:rPr>
        <w:t>ο</w:t>
      </w:r>
    </w:p>
    <w:p w:rsidR="003C09EC" w:rsidRDefault="003C09EC" w:rsidP="003C09EC">
      <w:pPr>
        <w:rPr>
          <w:b/>
          <w:bCs/>
          <w:color w:val="008000"/>
          <w:shd w:val="clear" w:color="auto" w:fill="00FFFF"/>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C09EC" w:rsidRPr="0024748C" w:rsidTr="00AE5442">
        <w:tc>
          <w:tcPr>
            <w:tcW w:w="8522" w:type="dxa"/>
          </w:tcPr>
          <w:p w:rsidR="003C09EC" w:rsidRDefault="003C09EC" w:rsidP="00AE5442">
            <w:r>
              <w:t>Έτσι ο Νικόδημος οδηγείται στη σκέψη να αξιοποιήσει και άλλα μικρότερα πλαστικά πλακάκια που έχει ο παππούς προκειμένου να επιτύχει μια μέτρηση όσο γίνεται πιο κοντά στην πραγματική επιφάνεια;</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290"/>
            </w:tblGrid>
            <w:tr w:rsidR="003C09EC" w:rsidTr="00AE5442">
              <w:trPr>
                <w:tblCellSpacing w:w="20" w:type="dxa"/>
              </w:trPr>
              <w:tc>
                <w:tcPr>
                  <w:tcW w:w="8522" w:type="dxa"/>
                  <w:shd w:val="clear" w:color="auto" w:fill="auto"/>
                </w:tcPr>
                <w:p w:rsidR="003C09EC" w:rsidRPr="00E927EA" w:rsidRDefault="003C09EC" w:rsidP="00AE5442">
                  <w:pPr>
                    <w:jc w:val="center"/>
                  </w:pPr>
                  <w:r>
                    <w:rPr>
                      <w:noProof/>
                    </w:rPr>
                    <w:drawing>
                      <wp:inline distT="0" distB="0" distL="0" distR="0">
                        <wp:extent cx="3476625" cy="263715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6625" cy="2637155"/>
                                </a:xfrm>
                                <a:prstGeom prst="rect">
                                  <a:avLst/>
                                </a:prstGeom>
                                <a:noFill/>
                                <a:ln>
                                  <a:noFill/>
                                </a:ln>
                              </pic:spPr>
                            </pic:pic>
                          </a:graphicData>
                        </a:graphic>
                      </wp:inline>
                    </w:drawing>
                  </w:r>
                </w:p>
              </w:tc>
            </w:tr>
          </w:tbl>
          <w:p w:rsidR="003C09EC" w:rsidRPr="0024748C" w:rsidRDefault="003C09EC" w:rsidP="00AE5442">
            <w:pPr>
              <w:jc w:val="center"/>
              <w:rPr>
                <w:b/>
              </w:rPr>
            </w:pPr>
            <w:r w:rsidRPr="0024748C">
              <w:rPr>
                <w:b/>
              </w:rPr>
              <w:t>ΕΙΚΟΝΑ</w:t>
            </w:r>
            <w:r w:rsidR="009E57AA">
              <w:rPr>
                <w:b/>
              </w:rPr>
              <w:t>-</w:t>
            </w:r>
            <w:r w:rsidRPr="0024748C">
              <w:rPr>
                <w:b/>
              </w:rPr>
              <w:t>2</w:t>
            </w:r>
          </w:p>
          <w:p w:rsidR="003C09EC" w:rsidRDefault="003C09EC" w:rsidP="00AE5442">
            <w:r>
              <w:t>Ποια είναι η σχέση που συνδέει τα πράσινα πλακάκια με τα μικρότερα (δηλ τις υποδιαιρέσεις τους) ή τα μικρότερα (δηλ. τις υποδιαιρέσεις) μεταξύ τους;</w:t>
            </w:r>
          </w:p>
          <w:p w:rsidR="003C09EC" w:rsidRDefault="003C09EC" w:rsidP="00AE5442"/>
          <w:tbl>
            <w:tblPr>
              <w:tblW w:w="82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4158"/>
              <w:gridCol w:w="4132"/>
            </w:tblGrid>
            <w:tr w:rsidR="003C09EC" w:rsidTr="00AE5442">
              <w:trPr>
                <w:tblCellSpacing w:w="20" w:type="dxa"/>
              </w:trPr>
              <w:tc>
                <w:tcPr>
                  <w:tcW w:w="4098" w:type="dxa"/>
                  <w:shd w:val="clear" w:color="auto" w:fill="auto"/>
                </w:tcPr>
                <w:p w:rsidR="003C09EC" w:rsidRPr="00661CF3" w:rsidRDefault="003C09EC" w:rsidP="00AE5442">
                  <w:r>
                    <w:t xml:space="preserve">Ένα </w:t>
                  </w:r>
                  <w:r>
                    <w:rPr>
                      <w:noProof/>
                    </w:rPr>
                    <w:drawing>
                      <wp:inline distT="0" distB="0" distL="0" distR="0">
                        <wp:extent cx="446405" cy="4464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inline>
                    </w:drawing>
                  </w:r>
                  <w:r>
                    <w:t xml:space="preserve"> είναι ίσο με</w:t>
                  </w:r>
                </w:p>
              </w:tc>
              <w:tc>
                <w:tcPr>
                  <w:tcW w:w="4072" w:type="dxa"/>
                  <w:shd w:val="clear" w:color="auto" w:fill="auto"/>
                </w:tcPr>
                <w:p w:rsidR="003C09EC" w:rsidRPr="0024748C" w:rsidRDefault="003C09EC" w:rsidP="00AE5442">
                  <w:pPr>
                    <w:rPr>
                      <w:i/>
                    </w:rPr>
                  </w:pPr>
                  <w:r w:rsidRPr="0024748C">
                    <w:rPr>
                      <w:i/>
                    </w:rPr>
                    <w:t xml:space="preserve">.....2......    </w:t>
                  </w:r>
                  <w:r>
                    <w:rPr>
                      <w:i/>
                      <w:noProof/>
                    </w:rPr>
                    <w:drawing>
                      <wp:inline distT="0" distB="0" distL="0" distR="0">
                        <wp:extent cx="605790" cy="297815"/>
                        <wp:effectExtent l="0" t="0" r="381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297815"/>
                                </a:xfrm>
                                <a:prstGeom prst="rect">
                                  <a:avLst/>
                                </a:prstGeom>
                                <a:noFill/>
                                <a:ln>
                                  <a:noFill/>
                                </a:ln>
                              </pic:spPr>
                            </pic:pic>
                          </a:graphicData>
                        </a:graphic>
                      </wp:inline>
                    </w:drawing>
                  </w:r>
                </w:p>
              </w:tc>
            </w:tr>
            <w:tr w:rsidR="003C09EC" w:rsidTr="00AE5442">
              <w:trPr>
                <w:tblCellSpacing w:w="20" w:type="dxa"/>
              </w:trPr>
              <w:tc>
                <w:tcPr>
                  <w:tcW w:w="4098" w:type="dxa"/>
                  <w:shd w:val="clear" w:color="auto" w:fill="auto"/>
                </w:tcPr>
                <w:p w:rsidR="003C09EC" w:rsidRPr="00661CF3" w:rsidRDefault="003C09EC" w:rsidP="00AE5442">
                  <w:r>
                    <w:t xml:space="preserve">Ένα  </w:t>
                  </w:r>
                  <w:r>
                    <w:rPr>
                      <w:noProof/>
                    </w:rPr>
                    <w:drawing>
                      <wp:inline distT="0" distB="0" distL="0" distR="0">
                        <wp:extent cx="446405" cy="4464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inline>
                    </w:drawing>
                  </w:r>
                  <w:r>
                    <w:t xml:space="preserve"> είναι ίσο με</w:t>
                  </w:r>
                </w:p>
              </w:tc>
              <w:tc>
                <w:tcPr>
                  <w:tcW w:w="4072" w:type="dxa"/>
                  <w:shd w:val="clear" w:color="auto" w:fill="auto"/>
                </w:tcPr>
                <w:p w:rsidR="003C09EC" w:rsidRPr="0024748C" w:rsidRDefault="003C09EC" w:rsidP="00AE5442">
                  <w:pPr>
                    <w:rPr>
                      <w:i/>
                    </w:rPr>
                  </w:pPr>
                  <w:r w:rsidRPr="0024748C">
                    <w:rPr>
                      <w:i/>
                    </w:rPr>
                    <w:t xml:space="preserve">....4.......    </w:t>
                  </w:r>
                  <w:r>
                    <w:rPr>
                      <w:i/>
                      <w:noProof/>
                    </w:rPr>
                    <w:drawing>
                      <wp:inline distT="0" distB="0" distL="0" distR="0">
                        <wp:extent cx="616585" cy="1384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585" cy="138430"/>
                                </a:xfrm>
                                <a:prstGeom prst="rect">
                                  <a:avLst/>
                                </a:prstGeom>
                                <a:noFill/>
                                <a:ln>
                                  <a:noFill/>
                                </a:ln>
                              </pic:spPr>
                            </pic:pic>
                          </a:graphicData>
                        </a:graphic>
                      </wp:inline>
                    </w:drawing>
                  </w:r>
                </w:p>
              </w:tc>
            </w:tr>
            <w:tr w:rsidR="003C09EC" w:rsidTr="00AE5442">
              <w:trPr>
                <w:tblCellSpacing w:w="20" w:type="dxa"/>
              </w:trPr>
              <w:tc>
                <w:tcPr>
                  <w:tcW w:w="4098" w:type="dxa"/>
                  <w:shd w:val="clear" w:color="auto" w:fill="auto"/>
                </w:tcPr>
                <w:p w:rsidR="003C09EC" w:rsidRDefault="003C09EC" w:rsidP="00AE5442">
                  <w:r>
                    <w:t xml:space="preserve">Ένα  </w:t>
                  </w:r>
                  <w:r>
                    <w:rPr>
                      <w:noProof/>
                    </w:rPr>
                    <w:drawing>
                      <wp:inline distT="0" distB="0" distL="0" distR="0">
                        <wp:extent cx="446405" cy="4464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inline>
                    </w:drawing>
                  </w:r>
                  <w:r>
                    <w:t xml:space="preserve"> είναι ίσο με </w:t>
                  </w:r>
                </w:p>
              </w:tc>
              <w:tc>
                <w:tcPr>
                  <w:tcW w:w="4072" w:type="dxa"/>
                  <w:shd w:val="clear" w:color="auto" w:fill="auto"/>
                </w:tcPr>
                <w:p w:rsidR="003C09EC" w:rsidRPr="0024748C" w:rsidRDefault="003C09EC" w:rsidP="00AE5442">
                  <w:pPr>
                    <w:rPr>
                      <w:i/>
                    </w:rPr>
                  </w:pPr>
                  <w:r w:rsidRPr="0024748C">
                    <w:rPr>
                      <w:i/>
                    </w:rPr>
                    <w:t xml:space="preserve">.....16......    </w:t>
                  </w:r>
                  <w:r>
                    <w:rPr>
                      <w:i/>
                      <w:noProof/>
                    </w:rPr>
                    <w:drawing>
                      <wp:inline distT="0" distB="0" distL="0" distR="0">
                        <wp:extent cx="138430" cy="1485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p>
              </w:tc>
            </w:tr>
            <w:tr w:rsidR="003C09EC" w:rsidTr="00AE5442">
              <w:trPr>
                <w:tblCellSpacing w:w="20" w:type="dxa"/>
              </w:trPr>
              <w:tc>
                <w:tcPr>
                  <w:tcW w:w="4098" w:type="dxa"/>
                  <w:shd w:val="clear" w:color="auto" w:fill="auto"/>
                </w:tcPr>
                <w:p w:rsidR="003C09EC" w:rsidRDefault="003C09EC" w:rsidP="00AE5442">
                  <w:r>
                    <w:t xml:space="preserve">Ένα   </w:t>
                  </w:r>
                  <w:r>
                    <w:rPr>
                      <w:noProof/>
                    </w:rPr>
                    <w:drawing>
                      <wp:inline distT="0" distB="0" distL="0" distR="0">
                        <wp:extent cx="605790" cy="297815"/>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297815"/>
                                </a:xfrm>
                                <a:prstGeom prst="rect">
                                  <a:avLst/>
                                </a:prstGeom>
                                <a:noFill/>
                                <a:ln>
                                  <a:noFill/>
                                </a:ln>
                              </pic:spPr>
                            </pic:pic>
                          </a:graphicData>
                        </a:graphic>
                      </wp:inline>
                    </w:drawing>
                  </w:r>
                  <w:r>
                    <w:t xml:space="preserve"> είναι ίσο με </w:t>
                  </w:r>
                </w:p>
              </w:tc>
              <w:tc>
                <w:tcPr>
                  <w:tcW w:w="4072" w:type="dxa"/>
                  <w:shd w:val="clear" w:color="auto" w:fill="auto"/>
                </w:tcPr>
                <w:p w:rsidR="003C09EC" w:rsidRPr="0024748C" w:rsidRDefault="003C09EC" w:rsidP="00AE5442">
                  <w:pPr>
                    <w:rPr>
                      <w:i/>
                    </w:rPr>
                  </w:pPr>
                  <w:r w:rsidRPr="0024748C">
                    <w:rPr>
                      <w:i/>
                    </w:rPr>
                    <w:t xml:space="preserve">....2.......    </w:t>
                  </w:r>
                  <w:r>
                    <w:rPr>
                      <w:i/>
                      <w:noProof/>
                    </w:rPr>
                    <w:drawing>
                      <wp:inline distT="0" distB="0" distL="0" distR="0">
                        <wp:extent cx="616585" cy="1384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585" cy="138430"/>
                                </a:xfrm>
                                <a:prstGeom prst="rect">
                                  <a:avLst/>
                                </a:prstGeom>
                                <a:noFill/>
                                <a:ln>
                                  <a:noFill/>
                                </a:ln>
                              </pic:spPr>
                            </pic:pic>
                          </a:graphicData>
                        </a:graphic>
                      </wp:inline>
                    </w:drawing>
                  </w:r>
                </w:p>
              </w:tc>
            </w:tr>
            <w:tr w:rsidR="003C09EC" w:rsidTr="00AE5442">
              <w:trPr>
                <w:tblCellSpacing w:w="20" w:type="dxa"/>
              </w:trPr>
              <w:tc>
                <w:tcPr>
                  <w:tcW w:w="4098" w:type="dxa"/>
                  <w:shd w:val="clear" w:color="auto" w:fill="auto"/>
                </w:tcPr>
                <w:p w:rsidR="003C09EC" w:rsidRDefault="003C09EC" w:rsidP="00AE5442">
                  <w:r>
                    <w:t xml:space="preserve">Ένα   </w:t>
                  </w:r>
                  <w:r>
                    <w:rPr>
                      <w:noProof/>
                    </w:rPr>
                    <w:drawing>
                      <wp:inline distT="0" distB="0" distL="0" distR="0">
                        <wp:extent cx="616585" cy="138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585" cy="138430"/>
                                </a:xfrm>
                                <a:prstGeom prst="rect">
                                  <a:avLst/>
                                </a:prstGeom>
                                <a:noFill/>
                                <a:ln>
                                  <a:noFill/>
                                </a:ln>
                              </pic:spPr>
                            </pic:pic>
                          </a:graphicData>
                        </a:graphic>
                      </wp:inline>
                    </w:drawing>
                  </w:r>
                  <w:r>
                    <w:t xml:space="preserve"> είναι ίσο με </w:t>
                  </w:r>
                </w:p>
              </w:tc>
              <w:tc>
                <w:tcPr>
                  <w:tcW w:w="4072" w:type="dxa"/>
                  <w:shd w:val="clear" w:color="auto" w:fill="auto"/>
                </w:tcPr>
                <w:p w:rsidR="003C09EC" w:rsidRPr="0024748C" w:rsidRDefault="003C09EC" w:rsidP="00AE5442">
                  <w:pPr>
                    <w:rPr>
                      <w:i/>
                    </w:rPr>
                  </w:pPr>
                  <w:r w:rsidRPr="0024748C">
                    <w:rPr>
                      <w:i/>
                    </w:rPr>
                    <w:t xml:space="preserve">....4.......    </w:t>
                  </w:r>
                  <w:r>
                    <w:rPr>
                      <w:i/>
                      <w:noProof/>
                    </w:rPr>
                    <w:drawing>
                      <wp:inline distT="0" distB="0" distL="0" distR="0">
                        <wp:extent cx="138430" cy="148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p>
              </w:tc>
            </w:tr>
            <w:tr w:rsidR="003C09EC" w:rsidTr="00AE5442">
              <w:trPr>
                <w:tblCellSpacing w:w="20" w:type="dxa"/>
              </w:trPr>
              <w:tc>
                <w:tcPr>
                  <w:tcW w:w="4098" w:type="dxa"/>
                  <w:shd w:val="clear" w:color="auto" w:fill="auto"/>
                </w:tcPr>
                <w:p w:rsidR="003C09EC" w:rsidRDefault="003C09EC" w:rsidP="00AE5442">
                  <w:r>
                    <w:t xml:space="preserve">Ένα   </w:t>
                  </w:r>
                  <w:r>
                    <w:rPr>
                      <w:noProof/>
                    </w:rPr>
                    <w:drawing>
                      <wp:inline distT="0" distB="0" distL="0" distR="0">
                        <wp:extent cx="605790" cy="297815"/>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297815"/>
                                </a:xfrm>
                                <a:prstGeom prst="rect">
                                  <a:avLst/>
                                </a:prstGeom>
                                <a:noFill/>
                                <a:ln>
                                  <a:noFill/>
                                </a:ln>
                              </pic:spPr>
                            </pic:pic>
                          </a:graphicData>
                        </a:graphic>
                      </wp:inline>
                    </w:drawing>
                  </w:r>
                  <w:r>
                    <w:t xml:space="preserve">είναι ίσο με </w:t>
                  </w:r>
                </w:p>
              </w:tc>
              <w:tc>
                <w:tcPr>
                  <w:tcW w:w="4072" w:type="dxa"/>
                  <w:shd w:val="clear" w:color="auto" w:fill="auto"/>
                </w:tcPr>
                <w:p w:rsidR="003C09EC" w:rsidRPr="0024748C" w:rsidRDefault="003C09EC" w:rsidP="00AE5442">
                  <w:pPr>
                    <w:rPr>
                      <w:i/>
                    </w:rPr>
                  </w:pPr>
                  <w:r w:rsidRPr="0024748C">
                    <w:rPr>
                      <w:i/>
                    </w:rPr>
                    <w:t xml:space="preserve">....8.......    </w:t>
                  </w:r>
                  <w:r>
                    <w:rPr>
                      <w:i/>
                      <w:noProof/>
                    </w:rPr>
                    <w:drawing>
                      <wp:inline distT="0" distB="0" distL="0" distR="0">
                        <wp:extent cx="138430" cy="148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p>
              </w:tc>
            </w:tr>
          </w:tbl>
          <w:p w:rsidR="003C09EC" w:rsidRPr="0024748C" w:rsidRDefault="003C09EC" w:rsidP="00AE5442">
            <w:pPr>
              <w:jc w:val="center"/>
              <w:rPr>
                <w:b/>
              </w:rPr>
            </w:pPr>
            <w:r w:rsidRPr="0024748C">
              <w:rPr>
                <w:b/>
              </w:rPr>
              <w:t>ΠΙΝΑΚΑΣ</w:t>
            </w:r>
            <w:r w:rsidR="009E57AA">
              <w:rPr>
                <w:b/>
              </w:rPr>
              <w:t>-1</w:t>
            </w:r>
          </w:p>
          <w:p w:rsidR="003C09EC" w:rsidRPr="00C23029" w:rsidRDefault="003C09EC" w:rsidP="00AE5442"/>
        </w:tc>
      </w:tr>
    </w:tbl>
    <w:p w:rsidR="003C09EC" w:rsidRDefault="003C09EC" w:rsidP="003C09EC"/>
    <w:p w:rsidR="003C09EC" w:rsidRDefault="003C09EC" w:rsidP="003C09EC">
      <w:r>
        <w:t xml:space="preserve">Προηγουμένως οι μαθητές εντόπισαν την αναγκαιότητα ύπαρξης μικρότερων </w:t>
      </w:r>
      <w:proofErr w:type="spellStart"/>
      <w:r>
        <w:t>υπομονάδων</w:t>
      </w:r>
      <w:proofErr w:type="spellEnd"/>
      <w:r>
        <w:t xml:space="preserve"> για την επίτευξη μιας μέτρησης. Τώρα τονίζεται το γεγονός ότι αυτές οι </w:t>
      </w:r>
      <w:proofErr w:type="spellStart"/>
      <w:r>
        <w:t>υπομονάδες</w:t>
      </w:r>
      <w:proofErr w:type="spellEnd"/>
      <w:r>
        <w:t xml:space="preserve"> βρίσκονται σε άμεση αριθμητική σχέση τόσο με την αρχική μονάδα όσο και μεταξύ τους. Στη συνέχεια οι μαθητές στην πράξη θα χρησιμοποιήσουν μονάδες και </w:t>
      </w:r>
      <w:proofErr w:type="spellStart"/>
      <w:r>
        <w:t>υπομονάδες</w:t>
      </w:r>
      <w:proofErr w:type="spellEnd"/>
      <w:r>
        <w:t xml:space="preserve"> προκειμένου να υπολογίσουν ένα εμβαδόν.</w:t>
      </w:r>
    </w:p>
    <w:p w:rsidR="003C09EC" w:rsidRDefault="003C09EC" w:rsidP="003C09EC"/>
    <w:p w:rsidR="003C09EC" w:rsidRDefault="003C09EC" w:rsidP="003C09EC">
      <w:pPr>
        <w:pStyle w:val="Heading6"/>
        <w:shd w:val="clear" w:color="auto" w:fill="8C8C8C"/>
        <w:jc w:val="center"/>
        <w:rPr>
          <w:rFonts w:ascii="Arial" w:hAnsi="Arial" w:cs="Arial"/>
          <w:color w:val="FFFFFF"/>
          <w:sz w:val="24"/>
          <w:szCs w:val="24"/>
        </w:rPr>
      </w:pPr>
      <w:r>
        <w:rPr>
          <w:rFonts w:ascii="Arial" w:hAnsi="Arial" w:cs="Arial"/>
          <w:color w:val="FFFFFF"/>
          <w:sz w:val="24"/>
          <w:szCs w:val="24"/>
        </w:rPr>
        <w:t>Βήμα 3</w:t>
      </w:r>
      <w:r>
        <w:rPr>
          <w:rFonts w:ascii="Arial" w:hAnsi="Arial" w:cs="Arial"/>
          <w:color w:val="FFFFFF"/>
          <w:sz w:val="24"/>
          <w:szCs w:val="24"/>
          <w:vertAlign w:val="superscript"/>
        </w:rPr>
        <w:t>ο</w:t>
      </w:r>
    </w:p>
    <w:p w:rsidR="003C09EC" w:rsidRDefault="003C09EC" w:rsidP="003C09EC">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C09EC" w:rsidTr="00AE5442">
        <w:tc>
          <w:tcPr>
            <w:tcW w:w="8522" w:type="dxa"/>
          </w:tcPr>
          <w:p w:rsidR="003C09EC" w:rsidRDefault="003C09EC" w:rsidP="00AE5442">
            <w:r>
              <w:t>Ανοίξτε τώρα το αρχείο</w:t>
            </w:r>
            <w:r w:rsidR="009E57AA">
              <w:t xml:space="preserve"> </w:t>
            </w:r>
            <w:r w:rsidR="009E57AA">
              <w:t>«Δραστηριότητα-</w:t>
            </w:r>
            <w:r w:rsidR="009E57AA">
              <w:t>2</w:t>
            </w:r>
            <w:r w:rsidR="009E57AA">
              <w:t>»</w:t>
            </w:r>
            <w:bookmarkStart w:id="0" w:name="_GoBack"/>
            <w:bookmarkEnd w:id="0"/>
            <w:r>
              <w:t xml:space="preserve"> και χρησιμοποιείστε όπως νομίζετε τις παραπάνω μονάδες σέρνοντάς τες με το ποντίκι προκειμένου να υπολογίσετε με όσο το δυνατόν μεγαλύτερη ακρίβεια το εμβαδόν. </w:t>
            </w:r>
          </w:p>
          <w:p w:rsidR="003C09EC" w:rsidRDefault="003C09EC" w:rsidP="00AE5442"/>
          <w:tbl>
            <w:tblPr>
              <w:tblW w:w="0" w:type="auto"/>
              <w:tblCellSpacing w:w="20" w:type="dxa"/>
              <w:tblBorders>
                <w:top w:val="inset" w:sz="6" w:space="0" w:color="FF6600"/>
                <w:left w:val="inset" w:sz="6" w:space="0" w:color="FF6600"/>
                <w:bottom w:val="inset" w:sz="6" w:space="0" w:color="FF6600"/>
                <w:right w:val="inset" w:sz="6" w:space="0" w:color="FF6600"/>
                <w:insideH w:val="inset" w:sz="6" w:space="0" w:color="FF6600"/>
                <w:insideV w:val="inset" w:sz="6" w:space="0" w:color="FF6600"/>
              </w:tblBorders>
              <w:tblLook w:val="00A0" w:firstRow="1" w:lastRow="0" w:firstColumn="1" w:lastColumn="0" w:noHBand="0" w:noVBand="0"/>
            </w:tblPr>
            <w:tblGrid>
              <w:gridCol w:w="8290"/>
            </w:tblGrid>
            <w:tr w:rsidR="003C09EC" w:rsidTr="00AE5442">
              <w:trPr>
                <w:tblCellSpacing w:w="20" w:type="dxa"/>
              </w:trPr>
              <w:tc>
                <w:tcPr>
                  <w:tcW w:w="8522" w:type="dxa"/>
                  <w:shd w:val="clear" w:color="auto" w:fill="auto"/>
                </w:tcPr>
                <w:p w:rsidR="003C09EC" w:rsidRDefault="003C09EC" w:rsidP="00AE5442"/>
                <w:p w:rsidR="003C09EC" w:rsidRDefault="003C09EC" w:rsidP="00AE5442">
                  <w:r>
                    <w:t>Το εμβαδόν του σχήματος είναι:</w:t>
                  </w:r>
                </w:p>
                <w:p w:rsidR="003C09EC" w:rsidRDefault="003C09EC" w:rsidP="00AE5442"/>
              </w:tc>
            </w:tr>
          </w:tbl>
          <w:p w:rsidR="003C09EC" w:rsidRDefault="003C09EC" w:rsidP="00AE5442"/>
          <w:p w:rsidR="003C09EC" w:rsidRDefault="003C09EC" w:rsidP="00AE5442">
            <w:r>
              <w:t>Να συγκρίνετε τις απαντήσεις σας. Ποια νομίζετε ότι πρέπει να δεχτούμε ως την πιο σωστή; Πως θα χρησιμοποιούσαμε το αποτέλεσμα που βρήκαμε προκειμένου να δώσουμε μια κατανοητή πληροφορία στους αρχαιολόγους από το τηλέφωνο;</w:t>
            </w:r>
          </w:p>
          <w:p w:rsidR="003C09EC" w:rsidRDefault="003C09EC" w:rsidP="00AE5442">
            <w:pPr>
              <w:rPr>
                <w:lang w:eastAsia="en-US"/>
              </w:rPr>
            </w:pPr>
          </w:p>
        </w:tc>
      </w:tr>
    </w:tbl>
    <w:p w:rsidR="003C09EC" w:rsidRDefault="003C09EC" w:rsidP="003C09EC">
      <w:pPr>
        <w:rPr>
          <w:lang w:eastAsia="en-US"/>
        </w:rPr>
      </w:pPr>
    </w:p>
    <w:p w:rsidR="003C09EC" w:rsidRDefault="003C09EC" w:rsidP="003C09EC">
      <w:r>
        <w:t>Το πρόβλημα επιδέχεται πολλές προσεγγίσεις βασισμένες στην επιλογή και τον συνδυασμό των μονάδων μέτρησης. Δίνουμε έμφαση σε δυο σημεία: α) Ότι ως μέτρηση κάθε μια είναι καθόλα νόμιμη και δίνει ως αποτέλεσμα έναν αριθμό που αποδίδει πράγματι το εμβαδόν του σχήματος, όμως β) Παρουσιάζει ένα επικοινωνιακό μειονέκτημα γιατί είναι προφανές ότι δεν μπορεί να έχει νόημα για κάποιον άλλο πέρα από μας που κάναμε την συγκεκριμένη επιλογή.</w:t>
      </w:r>
    </w:p>
    <w:p w:rsidR="00DC07F6" w:rsidRDefault="00DC07F6"/>
    <w:sectPr w:rsidR="00DC07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9EC"/>
    <w:rsid w:val="003747A6"/>
    <w:rsid w:val="003C09EC"/>
    <w:rsid w:val="00522D79"/>
    <w:rsid w:val="009E57AA"/>
    <w:rsid w:val="00DC07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9EC"/>
    <w:pPr>
      <w:spacing w:after="0" w:line="360" w:lineRule="auto"/>
      <w:jc w:val="both"/>
    </w:pPr>
    <w:rPr>
      <w:rFonts w:ascii="Verdana" w:eastAsia="Times New Roman" w:hAnsi="Verdana" w:cs="Times New Roman"/>
      <w:sz w:val="20"/>
      <w:szCs w:val="24"/>
      <w:lang w:eastAsia="el-GR"/>
    </w:rPr>
  </w:style>
  <w:style w:type="paragraph" w:styleId="Heading4">
    <w:name w:val="heading 4"/>
    <w:basedOn w:val="Normal"/>
    <w:next w:val="Normal"/>
    <w:link w:val="Heading4Char"/>
    <w:qFormat/>
    <w:rsid w:val="003C09EC"/>
    <w:pPr>
      <w:keepNext/>
      <w:spacing w:before="240" w:after="60"/>
      <w:outlineLvl w:val="3"/>
    </w:pPr>
    <w:rPr>
      <w:rFonts w:ascii="Arial (W1)" w:hAnsi="Arial (W1)"/>
      <w:b/>
      <w:bCs/>
      <w:sz w:val="24"/>
      <w:szCs w:val="28"/>
    </w:rPr>
  </w:style>
  <w:style w:type="paragraph" w:styleId="Heading6">
    <w:name w:val="heading 6"/>
    <w:basedOn w:val="Normal"/>
    <w:next w:val="Normal"/>
    <w:link w:val="Heading6Char"/>
    <w:qFormat/>
    <w:rsid w:val="003C09EC"/>
    <w:pPr>
      <w:spacing w:before="240" w:after="60"/>
      <w:outlineLvl w:val="5"/>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C09EC"/>
    <w:rPr>
      <w:rFonts w:ascii="Arial (W1)" w:eastAsia="Times New Roman" w:hAnsi="Arial (W1)" w:cs="Times New Roman"/>
      <w:b/>
      <w:bCs/>
      <w:sz w:val="24"/>
      <w:szCs w:val="28"/>
      <w:lang w:eastAsia="el-GR"/>
    </w:rPr>
  </w:style>
  <w:style w:type="character" w:customStyle="1" w:styleId="Heading6Char">
    <w:name w:val="Heading 6 Char"/>
    <w:basedOn w:val="DefaultParagraphFont"/>
    <w:link w:val="Heading6"/>
    <w:rsid w:val="003C09EC"/>
    <w:rPr>
      <w:rFonts w:ascii="Verdana" w:eastAsia="Times New Roman" w:hAnsi="Verdana" w:cs="Times New Roman"/>
      <w:b/>
      <w:bCs/>
      <w:i/>
      <w:iCs/>
      <w:sz w:val="20"/>
      <w:lang w:eastAsia="el-GR"/>
    </w:rPr>
  </w:style>
  <w:style w:type="paragraph" w:styleId="BalloonText">
    <w:name w:val="Balloon Text"/>
    <w:basedOn w:val="Normal"/>
    <w:link w:val="BalloonTextChar"/>
    <w:uiPriority w:val="99"/>
    <w:semiHidden/>
    <w:unhideWhenUsed/>
    <w:rsid w:val="003C09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9EC"/>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9EC"/>
    <w:pPr>
      <w:spacing w:after="0" w:line="360" w:lineRule="auto"/>
      <w:jc w:val="both"/>
    </w:pPr>
    <w:rPr>
      <w:rFonts w:ascii="Verdana" w:eastAsia="Times New Roman" w:hAnsi="Verdana" w:cs="Times New Roman"/>
      <w:sz w:val="20"/>
      <w:szCs w:val="24"/>
      <w:lang w:eastAsia="el-GR"/>
    </w:rPr>
  </w:style>
  <w:style w:type="paragraph" w:styleId="Heading4">
    <w:name w:val="heading 4"/>
    <w:basedOn w:val="Normal"/>
    <w:next w:val="Normal"/>
    <w:link w:val="Heading4Char"/>
    <w:qFormat/>
    <w:rsid w:val="003C09EC"/>
    <w:pPr>
      <w:keepNext/>
      <w:spacing w:before="240" w:after="60"/>
      <w:outlineLvl w:val="3"/>
    </w:pPr>
    <w:rPr>
      <w:rFonts w:ascii="Arial (W1)" w:hAnsi="Arial (W1)"/>
      <w:b/>
      <w:bCs/>
      <w:sz w:val="24"/>
      <w:szCs w:val="28"/>
    </w:rPr>
  </w:style>
  <w:style w:type="paragraph" w:styleId="Heading6">
    <w:name w:val="heading 6"/>
    <w:basedOn w:val="Normal"/>
    <w:next w:val="Normal"/>
    <w:link w:val="Heading6Char"/>
    <w:qFormat/>
    <w:rsid w:val="003C09EC"/>
    <w:pPr>
      <w:spacing w:before="240" w:after="60"/>
      <w:outlineLvl w:val="5"/>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C09EC"/>
    <w:rPr>
      <w:rFonts w:ascii="Arial (W1)" w:eastAsia="Times New Roman" w:hAnsi="Arial (W1)" w:cs="Times New Roman"/>
      <w:b/>
      <w:bCs/>
      <w:sz w:val="24"/>
      <w:szCs w:val="28"/>
      <w:lang w:eastAsia="el-GR"/>
    </w:rPr>
  </w:style>
  <w:style w:type="character" w:customStyle="1" w:styleId="Heading6Char">
    <w:name w:val="Heading 6 Char"/>
    <w:basedOn w:val="DefaultParagraphFont"/>
    <w:link w:val="Heading6"/>
    <w:rsid w:val="003C09EC"/>
    <w:rPr>
      <w:rFonts w:ascii="Verdana" w:eastAsia="Times New Roman" w:hAnsi="Verdana" w:cs="Times New Roman"/>
      <w:b/>
      <w:bCs/>
      <w:i/>
      <w:iCs/>
      <w:sz w:val="20"/>
      <w:lang w:eastAsia="el-GR"/>
    </w:rPr>
  </w:style>
  <w:style w:type="paragraph" w:styleId="BalloonText">
    <w:name w:val="Balloon Text"/>
    <w:basedOn w:val="Normal"/>
    <w:link w:val="BalloonTextChar"/>
    <w:uiPriority w:val="99"/>
    <w:semiHidden/>
    <w:unhideWhenUsed/>
    <w:rsid w:val="003C09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9EC"/>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494</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Ioannis-home</dc:creator>
  <cp:lastModifiedBy>Ioannis-home</cp:lastModifiedBy>
  <cp:revision>2</cp:revision>
  <dcterms:created xsi:type="dcterms:W3CDTF">2013-12-01T14:56:00Z</dcterms:created>
  <dcterms:modified xsi:type="dcterms:W3CDTF">2014-01-06T16:30:00Z</dcterms:modified>
</cp:coreProperties>
</file>